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spacing w:after="200" w:line="360" w:lineRule="auto"/>
        <w:ind w:left="0" w:firstLine="720"/>
        <w:jc w:val="center"/>
        <w:rPr>
          <w:rFonts w:ascii="Lateef" w:cs="Lateef" w:eastAsia="Lateef" w:hAnsi="Lateef"/>
          <w:sz w:val="72"/>
          <w:szCs w:val="72"/>
        </w:rPr>
      </w:pPr>
      <w:bookmarkStart w:colFirst="0" w:colLast="0" w:name="_cebhx5z3drig" w:id="0"/>
      <w:bookmarkEnd w:id="0"/>
      <w:r w:rsidDel="00000000" w:rsidR="00000000" w:rsidRPr="00000000">
        <w:rPr>
          <w:rFonts w:ascii="Lateef" w:cs="Lateef" w:eastAsia="Lateef" w:hAnsi="Lateef"/>
          <w:sz w:val="72"/>
          <w:szCs w:val="72"/>
          <w:rtl w:val="1"/>
        </w:rPr>
        <w:t xml:space="preserve">الكتابة</w:t>
      </w:r>
      <w:r w:rsidDel="00000000" w:rsidR="00000000" w:rsidRPr="00000000">
        <w:rPr>
          <w:rFonts w:ascii="Lateef" w:cs="Lateef" w:eastAsia="Lateef" w:hAnsi="Lateef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72"/>
          <w:szCs w:val="72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72"/>
          <w:szCs w:val="72"/>
          <w:rtl w:val="1"/>
        </w:rPr>
        <w:t xml:space="preserve">العنف</w:t>
      </w:r>
    </w:p>
    <w:p w:rsidR="00000000" w:rsidDel="00000000" w:rsidP="00000000" w:rsidRDefault="00000000" w:rsidRPr="00000000" w14:paraId="00000002">
      <w:pPr>
        <w:spacing w:after="200" w:before="0" w:line="360" w:lineRule="auto"/>
        <w:ind w:left="0" w:firstLine="0"/>
        <w:rPr>
          <w:rFonts w:ascii="Lateef" w:cs="Lateef" w:eastAsia="Lateef" w:hAnsi="Lateef"/>
          <w:sz w:val="28"/>
          <w:szCs w:val="28"/>
        </w:rPr>
      </w:pPr>
      <w:r w:rsidDel="00000000" w:rsidR="00000000" w:rsidRPr="00000000">
        <w:rPr>
          <w:rFonts w:ascii="Lateef" w:cs="Lateef" w:eastAsia="Lateef" w:hAnsi="Lateef"/>
          <w:sz w:val="28"/>
          <w:szCs w:val="28"/>
          <w:rtl w:val="0"/>
        </w:rPr>
        <w:t xml:space="preserve">[original: </w:t>
      </w:r>
      <w:hyperlink r:id="rId7">
        <w:r w:rsidDel="00000000" w:rsidR="00000000" w:rsidRPr="00000000">
          <w:rPr>
            <w:rFonts w:ascii="Lateef" w:cs="Lateef" w:eastAsia="Lateef" w:hAnsi="Lateef"/>
            <w:color w:val="1155cc"/>
            <w:sz w:val="28"/>
            <w:szCs w:val="28"/>
            <w:u w:val="single"/>
            <w:rtl w:val="0"/>
          </w:rPr>
          <w:t xml:space="preserve">Writing about Violence</w:t>
        </w:r>
      </w:hyperlink>
      <w:r w:rsidDel="00000000" w:rsidR="00000000" w:rsidRPr="00000000">
        <w:rPr>
          <w:rFonts w:ascii="Lateef" w:cs="Lateef" w:eastAsia="Lateef" w:hAnsi="Lateef"/>
          <w:sz w:val="28"/>
          <w:szCs w:val="28"/>
          <w:rtl w:val="0"/>
        </w:rPr>
        <w:t xml:space="preserve">]</w:t>
      </w:r>
    </w:p>
    <w:p w:rsidR="00000000" w:rsidDel="00000000" w:rsidP="00000000" w:rsidRDefault="00000000" w:rsidRPr="00000000" w14:paraId="00000003">
      <w:pPr>
        <w:bidi w:val="1"/>
        <w:spacing w:after="200" w:before="0" w:line="360" w:lineRule="auto"/>
        <w:ind w:left="0" w:firstLine="720"/>
        <w:rPr>
          <w:rFonts w:ascii="Lateef" w:cs="Lateef" w:eastAsia="Lateef" w:hAnsi="Lateef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200" w:before="0" w:line="360" w:lineRule="auto"/>
        <w:ind w:left="0" w:firstLine="0"/>
        <w:rPr>
          <w:rFonts w:ascii="Lateef" w:cs="Lateef" w:eastAsia="Lateef" w:hAnsi="Lateef"/>
          <w:sz w:val="28"/>
          <w:szCs w:val="28"/>
        </w:rPr>
      </w:pP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روسبيليندا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كارديناس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هبة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أبو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عكر</w:t>
      </w:r>
    </w:p>
    <w:p w:rsidR="00000000" w:rsidDel="00000000" w:rsidP="00000000" w:rsidRDefault="00000000" w:rsidRPr="00000000" w14:paraId="00000005">
      <w:pPr>
        <w:spacing w:after="200" w:before="0" w:line="360" w:lineRule="auto"/>
        <w:ind w:left="0" w:firstLine="0"/>
        <w:rPr>
          <w:rFonts w:ascii="Lateef" w:cs="Lateef" w:eastAsia="Lateef" w:hAnsi="Lateef"/>
          <w:sz w:val="28"/>
          <w:szCs w:val="28"/>
        </w:rPr>
      </w:pPr>
      <w:r w:rsidDel="00000000" w:rsidR="00000000" w:rsidRPr="00000000">
        <w:rPr>
          <w:rFonts w:ascii="Lateef" w:cs="Lateef" w:eastAsia="Lateef" w:hAnsi="Lateef"/>
          <w:sz w:val="28"/>
          <w:szCs w:val="28"/>
          <w:rtl w:val="0"/>
        </w:rPr>
        <w:t xml:space="preserve">[</w:t>
      </w:r>
      <w:r w:rsidDel="00000000" w:rsidR="00000000" w:rsidRPr="00000000">
        <w:rPr>
          <w:rFonts w:ascii="Lateef" w:cs="Lateef" w:eastAsia="Lateef" w:hAnsi="Lateef"/>
          <w:i w:val="1"/>
          <w:sz w:val="28"/>
          <w:szCs w:val="28"/>
          <w:rtl w:val="0"/>
        </w:rPr>
        <w:t xml:space="preserve">Middle East Report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0"/>
        </w:rPr>
        <w:t xml:space="preserve"> 284/285 (Winter 2017)]</w:t>
      </w:r>
    </w:p>
    <w:p w:rsidR="00000000" w:rsidDel="00000000" w:rsidP="00000000" w:rsidRDefault="00000000" w:rsidRPr="00000000" w14:paraId="00000006">
      <w:pPr>
        <w:bidi w:val="1"/>
        <w:spacing w:after="200" w:before="0" w:line="360" w:lineRule="auto"/>
        <w:ind w:left="0" w:firstLine="0"/>
        <w:rPr>
          <w:rFonts w:ascii="Lateef" w:cs="Lateef" w:eastAsia="Lateef" w:hAnsi="Lateef"/>
          <w:sz w:val="28"/>
          <w:szCs w:val="28"/>
        </w:rPr>
      </w:pP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ترجمة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.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ك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Lateef" w:cs="Lateef" w:eastAsia="Lateef" w:hAnsi="Lateef"/>
          <w:sz w:val="28"/>
          <w:szCs w:val="28"/>
          <w:rtl w:val="1"/>
        </w:rPr>
        <w:t xml:space="preserve">ت</w:t>
      </w:r>
    </w:p>
    <w:p w:rsidR="00000000" w:rsidDel="00000000" w:rsidP="00000000" w:rsidRDefault="00000000" w:rsidRPr="00000000" w14:paraId="00000007">
      <w:pPr>
        <w:bidi w:val="1"/>
        <w:spacing w:after="200" w:before="0" w:line="360" w:lineRule="auto"/>
        <w:ind w:left="0" w:firstLine="720"/>
        <w:rPr>
          <w:rFonts w:ascii="Lateef" w:cs="Lateef" w:eastAsia="Lateef" w:hAnsi="Lateef"/>
          <w:sz w:val="48"/>
          <w:szCs w:val="4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200" w:before="0" w:line="360" w:lineRule="auto"/>
        <w:ind w:left="0" w:firstLine="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نستطيع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نحدد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بالضبط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جاءت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فكرة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تدريسنا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بشكل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مشترك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دورة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مقارنة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المعاصرة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وأمريكا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نتذكر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جيدا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ترتب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القرار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المبدئي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أخذناه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أواخر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٢٠١٥.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البداية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الإثارة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تصاحب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إحساسا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ناشئا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بوجود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إمكانية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نراجع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أدبيات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المجال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ونحن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نصمم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الدورة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التعليمية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وجدنا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روابط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واتصالات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عديدة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سمحت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بوضع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والشرق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التركيز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المقرر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يطمح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فقط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إيجاد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الصدى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والتشابه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فطورناه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يستكشف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أوجه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الاختلاف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والانقطاع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ناقشنا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دور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الدولة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الجندرة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يؤكد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القطاع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الرسمي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حقهم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كسب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الرزق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مصر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وجمهورية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الدومينيكان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Lateef" w:cs="Lateef" w:eastAsia="Lateef" w:hAnsi="Lateef"/>
          <w:sz w:val="36"/>
          <w:szCs w:val="36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وأملينا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التفكير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الطابع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العرقي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للتنازع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الجغرافيا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يسم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كفاح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السوداوات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ضد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التكويش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البرازيل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وعمليات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مفاوضة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ومقاومة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بناء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جدار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الفصل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إسرائيل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وفلسطين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Lateef" w:cs="Lateef" w:eastAsia="Lateef" w:hAnsi="Lateef"/>
          <w:sz w:val="36"/>
          <w:szCs w:val="36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وتأملنا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أحوال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الحداثة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النفطية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وڤنزويلا</w:t>
      </w:r>
      <w:r w:rsidDel="00000000" w:rsidR="00000000" w:rsidRPr="00000000">
        <w:rPr>
          <w:rFonts w:ascii="Lateef" w:cs="Lateef" w:eastAsia="Lateef" w:hAnsi="Lateef"/>
          <w:sz w:val="36"/>
          <w:szCs w:val="36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وناقشنا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جرى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أعقاب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الوردي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والربيع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العربي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Lateef" w:cs="Lateef" w:eastAsia="Lateef" w:hAnsi="Lateef"/>
          <w:sz w:val="36"/>
          <w:szCs w:val="36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200" w:before="0" w:line="360" w:lineRule="auto"/>
        <w:ind w:left="0"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ونحن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نستخرج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صلات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الربط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الواعدة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علينا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مواجهة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إدراكنا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لحقيقة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العديد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مؤطر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بخبرات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فجأة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بدأ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مقررنا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قرأ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قائمة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بالكوابيس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الدستوپية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مشاهد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طبيعة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مدم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َّ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أشكال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مزمنة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للإخضاع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الطابع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الجنوسي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أنظمة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تزيد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استغلالية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استخراج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شرس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للموارد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دورات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تنتهي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يبدو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انقلبت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إثارتنا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الأولى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تأملا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متجهما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after="200" w:before="0" w:line="360" w:lineRule="auto"/>
        <w:ind w:left="0"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إدراكنا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دخلنا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الفصل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الدراسي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بإحساس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يجمع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الترقب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والاستنفار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الفصل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يجمع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طلبة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شتى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الخلفيات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والخبرات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فخلق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فرصة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نادرة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لاستكمال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مهاراتهم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والدخول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حوارات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ونحن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نفكر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مليا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قضايا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عابرة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للمنطقتين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Lateef" w:cs="Lateef" w:eastAsia="Lateef" w:hAnsi="Lateef"/>
          <w:sz w:val="36"/>
          <w:szCs w:val="36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صممنا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تكليف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مشروع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مدته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نصف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الدراسي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نتائج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مثيرة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الطلبة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روابط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متوقعة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ملصقات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مشاريعهم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النهائية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المثبتة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حوائط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فصلنا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تعرض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القدرة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للتفكير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المقارن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الغرافيتي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الشارع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القاهرة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وبوغوتا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دور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الدولة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فاڤيلات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البرازيل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ومخيمات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اللاجئين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بالضفة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الغربية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حروب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المخدرات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المكسيك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وأفغانستان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تكتيكات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حركات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مقاومة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نساء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الزاپاتستا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والأكراد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التأثيرات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الشتاتية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الموسيقى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الرائجة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المنطقتين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وغيرها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المشاريع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حظينا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التجربة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التربوية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بمساحة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فريدة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أمكننا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إقامة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حوارات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خارج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النظرة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المركزية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الأوروپية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الأماكن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ندعوها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أوطاننا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after="200" w:before="0" w:line="360" w:lineRule="auto"/>
        <w:ind w:left="0"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وبينما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أحدنا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يتعلم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بلهفة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أدركنا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كلتينا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تعاني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المعاناة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مرتبطة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بموقعينا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عملنا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وعلاقاتنا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بالأماكن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والناس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نكتب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فبينما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التركيز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البداية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يلقي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بظله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مقررنا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سمح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النهاية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بالانخراط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تأمل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ذاتي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نقدي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ممارساتنا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البحث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متفشيا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مواقعنا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الميدانية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وأوطاننا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يلزم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علينا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الاشتباك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نكتب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after="200" w:before="0" w:line="360" w:lineRule="auto"/>
        <w:ind w:left="0"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ونحن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تؤثر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فداحة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الوضع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الأماكن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نسميها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وطنا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ينعشنا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الباقي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التفكير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المشترك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يأتي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بمزيد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النظرات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المتبصرة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يتأمل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المقال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تحديات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حميمي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يتأمل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صعوبة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مساءلة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الفصل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الضحايا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وصانعيهم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الخبراء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وموضوعاتهم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وأوقات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وأوقات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فتصف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كارديناس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معاناتها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ضد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صناعة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الضحايا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وبالتحديد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فهي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تناقش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الخطورة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الكامنة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محاولة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التركيز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فقط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خسارة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ومعاناة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الأفرو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كولومبيين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المهج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داخليا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الإمكانات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تمنحها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للبعض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خبرات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ذاتها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عكر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فكشخص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عاش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الأهلية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اللبنانية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تتأمل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مشقة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شخصي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والخوف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المقيم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تعيده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وبينما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تختلف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مواقفنا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التأمل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المشترك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النابع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محادثاتنا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الفصل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أمدنا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بفرصة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الوصول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نظرات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متبصرة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عديدة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تقوم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ادعاء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قوي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بالقيمة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الفريدة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للمعرفة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ينتجها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يعيشون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ظل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Lateef" w:cs="Lateef" w:eastAsia="Lateef" w:hAnsi="Lateef"/>
          <w:sz w:val="36"/>
          <w:szCs w:val="36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ونحن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مصرتان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فوضوية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نجاهد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لتمثيله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بأشكاله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الروتينية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اليومية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نشهد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آن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المعاناة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والعطاء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المساهمين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خلق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عوالم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جديدة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الأنقاض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المتخلفة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مواقع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الهدم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D">
      <w:pPr>
        <w:pStyle w:val="Heading1"/>
        <w:bidi w:val="1"/>
        <w:spacing w:after="200" w:line="360" w:lineRule="auto"/>
        <w:ind w:left="0" w:firstLine="0"/>
        <w:rPr>
          <w:rFonts w:ascii="Lateef" w:cs="Lateef" w:eastAsia="Lateef" w:hAnsi="Lateef"/>
          <w:sz w:val="48"/>
          <w:szCs w:val="48"/>
        </w:rPr>
      </w:pPr>
      <w:bookmarkStart w:colFirst="0" w:colLast="0" w:name="_3zkynxtsx4iu" w:id="1"/>
      <w:bookmarkEnd w:id="1"/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أمريكا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اللاتينية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: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تحديات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الكتابة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ضد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صناعة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الضحايا</w:t>
      </w:r>
    </w:p>
    <w:p w:rsidR="00000000" w:rsidDel="00000000" w:rsidP="00000000" w:rsidRDefault="00000000" w:rsidRPr="00000000" w14:paraId="0000000E">
      <w:pPr>
        <w:bidi w:val="1"/>
        <w:spacing w:after="200" w:line="360" w:lineRule="auto"/>
        <w:ind w:left="0" w:firstLine="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وقت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مبكر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نشرت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مقالا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بعنوان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“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Thanks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to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My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Forced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Displacement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” ["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بفضل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تهجيري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"].</w:t>
      </w:r>
      <w:r w:rsidDel="00000000" w:rsidR="00000000" w:rsidRPr="00000000">
        <w:rPr>
          <w:rFonts w:ascii="Lateef" w:cs="Lateef" w:eastAsia="Lateef" w:hAnsi="Lateef"/>
          <w:sz w:val="36"/>
          <w:szCs w:val="36"/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وفيه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أروي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قصص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حياة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العديد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الأفرو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كولومبيين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اللذين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يعيشون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أطراف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بوغوتا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كأشخاص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مهجرين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داخليا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نازحين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).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القصص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تبت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محزنة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بقدر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معقدة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تسير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طرق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ملتفة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المنشأ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المستقر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الجديد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كتبت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مشبوكين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أنواع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التحالفات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والانتماءات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داخل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المشهد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الكولومبي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الشائك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رحلاتهم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الصعبة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نتاجات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متنوعة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بالمثل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مدن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ميلادهم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ونشأتهم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ونزح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بعضهم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متعددة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واستقر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آخرون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بوغوتا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فقدت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أسر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كثيرة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أفرادها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بالابتعاد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الموت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نشأ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تكو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شخصياتهم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نازحون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سقط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شقوق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نظام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المساعدات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الإنسانية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الخاص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بالدولة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وفقدوا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أفلح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الحصول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درجات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جامعية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وتأمين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وظائف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والظهور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كنشطاء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الصعوبات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after="200" w:line="360" w:lineRule="auto"/>
        <w:ind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عملت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شاقة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ً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طريقي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القصص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حاولت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أعطي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سقطت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ْ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أحابيله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حياة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المتكلمين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أشكال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متعددة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يتواني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الفقر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العنصرية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الجريمة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حقها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الظهور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أعطي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انطوت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مواجهاتهم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أشكال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المفرط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كالتهديدات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بالموت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والتهجير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والإخفاء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حقها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التقدير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لكنني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تلو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حكايات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تبرز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الفرح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والفاعلية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يمثل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تحديا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خاصا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أكتب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مسودة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يبدو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تؤكد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الانتصار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فأحذفها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الفور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قلقة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احتمال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تعرضي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لتهمة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التهوين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معاناتهم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تساء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قراءتي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باعتباري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أحتفي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بالبؤس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أدهى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وأمر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spacing w:after="200" w:before="0" w:line="360" w:lineRule="auto"/>
        <w:ind w:left="0"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عندما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تلقيت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تعليقات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مراجعي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المقال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أدركت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مخاوفي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مبررة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البداية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أدهشني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التنافر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فالقارئ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رقم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أخذه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الحماس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فاستعمل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كلمات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قبيل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رصين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يخاطر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نظريا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مستفز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للفكر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وأوصى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بنشر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الفور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القارئ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رقم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اثنان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فثار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واستعمل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كلمات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قبيل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الذهول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عدم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الراحة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القلق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كرد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اقتراحي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بعدم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أخذ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النازحين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كضحايا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وحسب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اقترح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القارئ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رقم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اثنان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تنقيحات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كبيرة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لتصحيح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نبرة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نظره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تقدر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المعاناة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يخبرها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النازحون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."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المشكلة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القارئ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رقم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اثنان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ببساطة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مشكلة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تأويل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مشكلة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أخلاقية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بعمق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التأكيد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الجوانب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الإيجابية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للحياة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الجديدة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لبعض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مصادري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بمثابة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إنكار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لحجم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المأساة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ولملايين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ضحايا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الأهلية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الكولومبية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—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الصراع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الأطول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نصف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الغربي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والممتد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مدار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خمسة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عقود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after="200" w:before="0" w:line="360" w:lineRule="auto"/>
        <w:ind w:left="0"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التنافر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القارئين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منسجما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صراعي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المقال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تذكرت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مراجعتي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للمسودة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احتوت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البداية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وصفا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لانتصارات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الصغيرة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والكبيرة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أحذفها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مخافة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تغطي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قصص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المؤلمة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مسارات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حركة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مصادري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وعلاقاتهم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وتداعيات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أفكارهم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قتلتها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وصفا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لكي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تعقيدها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أختزلهم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ضحايا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صناع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ضحايا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ِ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نظري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الأخص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أعيد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التفكير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عنوان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المقال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والحال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شاغل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القارئ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رقم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اثنان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بقولي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بفضل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ووصفي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الطرق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فتح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التهجير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مسارات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حياتية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جديدة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وشائقة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لبعض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النازحين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أقترح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بأس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نهاية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المطاف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طالبني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القارئ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رقم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اثنان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بإعادة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ترجمتي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لعبارة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gracias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a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mi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desplazamiento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مرجحا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توحي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بالسببية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كأنني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بعبارة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أقول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يعود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 -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بالامتنان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after="200" w:line="360" w:lineRule="auto"/>
        <w:ind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أشتغل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نسخ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منقحة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أتعامل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صعوبة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الاختيارات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آخذة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بجدية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الوقت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متمسكة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بقناعاتي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الشخصية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الوعورة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تمثيل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النهاية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وبالرغم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اختلافنا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الظاهر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اتفق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القارئ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رقم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اثنان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الرصانة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النظرية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المشكلة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الأريحية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ووصلنا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السؤال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شغل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كلينا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الخاسر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والرابح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الخسارة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والربح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تمثيلاتنا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الهدف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الواضح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ذهني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واصلت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التنقيح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أشارككم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النظرات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المتبصرة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الأساسية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وصلت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سياق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العملية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after="200" w:line="360" w:lineRule="auto"/>
        <w:ind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اللحظة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الراهنة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نعر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بحذر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نعنيه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ويعني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نتحدى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التعريفات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السائدة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تميز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تجليه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مواجهات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مشهدية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أشكاله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اليومية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العادية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والبنيوية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التعريفات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وبشكل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روتيني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الضحايا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لامرئيين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الحالة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الكولومبية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يميز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التعريف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تجيزه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الدولة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سوى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الضحايا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خبروا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خلال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السنوات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المحددة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بزمن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الأهلية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مجموعة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محددة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صناع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الضحايا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—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الجيش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محاربي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الغوار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مجموعات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مسلحة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والحال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التعريف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يعجز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إظهار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كيفية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تخبط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حياة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الكثيرين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أشكال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العيش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اليومي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وتفاقمها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بسببها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وبالرغم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كونها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عاشت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حياتها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يعجز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تعريف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المقبول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الدولة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كولومبيا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يعترف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مارغريتا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ضحية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—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عاملة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منزلية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سوداء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ريف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منطقة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المحيط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الهادي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عاشت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دائما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فقر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بالغ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ومؤخرا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أخذ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الشوارع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بوغوتا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ابنا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أبنائها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العجز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الاعتراف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الضحايا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سببه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أدواتنا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لتمييز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وتسمية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تغفل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القوى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البنيوية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قبيل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الفقر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والأبوية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والعنصرية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وتقاطعاتها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المميتة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جغرافيات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after="200" w:line="360" w:lineRule="auto"/>
        <w:ind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غرضي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إظهار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تعقيد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مسارات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حياة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أشكك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شرعية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وضعهم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كنازحين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أقلل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معاناتهم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العكس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نيتي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كشف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مضمون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التعريف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لإفساح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المجال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الإقرار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بوجود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الأنظمة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والبنى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المتعددة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المطو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زمنيا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ِ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الإقصاء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وتمكن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الاستغلال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وتصيب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بالجروح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يوميا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وبينما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أدرك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مخاطرة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التهوين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خصوصيات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المعاناة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يخبرها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الضحايا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مروا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بمواجهات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مشهدية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فاعلين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مسلحين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ألتزم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بموقفي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جانب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التوسع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الملح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لنطاق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التعريفات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الضيقة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after="200" w:line="360" w:lineRule="auto"/>
        <w:ind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ثاني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الدروس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تعلمتها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التمثيلات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تستكشف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تعدد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استخدامات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وأشكال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الاستجابة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مطلوبة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بشكل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ملح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وسد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الحاجة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وطء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الوعرة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الخاصة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بإظهار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صناعة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الضحايا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النظرة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المتبصرة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أخرج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مصادري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أنفسهم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والذين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يؤكدون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بشكل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اعتيادي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فاعليتهم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ويحتفون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بانتصاراتهم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فلماذا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يصعب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للغاية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مراعاة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الطرق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يمكن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بقدر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مدمر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؟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ربما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فعلنا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جلب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الروابط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المتولدة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والإمكانات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المستدعاة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مجال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الانتباه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ويمكن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لهذا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الانتباه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يسلط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الضوء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العوالم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الآخذة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الاختفاء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يتيح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الفرصة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لتسخير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العوالم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البازغة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مشاريع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سياسية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مستقبلية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المثال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فبينما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الاستمرار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الندب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والتنديد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بخسارة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الأرواح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والأرض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التهجير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الجماعي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كولومبيا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أليس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ملحا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بالقدر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نظهر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الطرق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يبدع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النازحون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هويات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جديدة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ومشاريع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سياسية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أماكن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وصولهم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نحتفي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؟</w:t>
      </w:r>
    </w:p>
    <w:p w:rsidR="00000000" w:rsidDel="00000000" w:rsidP="00000000" w:rsidRDefault="00000000" w:rsidRPr="00000000" w14:paraId="00000016">
      <w:pPr>
        <w:bidi w:val="1"/>
        <w:spacing w:after="200" w:line="360" w:lineRule="auto"/>
        <w:ind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المعاينة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الدقيقة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والحميمة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لحياة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يعيشون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الظاهر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أبدي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يكشف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دمار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وانقطاع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الرؤية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الممكن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رؤية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مفجع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ومدمر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يمكنه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قدرة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تحويلية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وإنتاجية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بالطبع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منطقة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محفوفة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بالمخاطر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مدركة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الإدراك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لمخاطر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خصبة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لمبرري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الأشكال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المتعددة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وأرغب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البقاء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يقظة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لواجبي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مواصلة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إدانة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المعاناة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تسببها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مخاطر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كامنة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سردية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بوصفه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دمارا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تستنزف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معانيها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واستخداماتها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الممكنة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after="200" w:line="360" w:lineRule="auto"/>
        <w:ind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الصيف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الماضي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عندما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كولومبيا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سألت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صديقتي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دورا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استعرت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عبارة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بفضل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تهجيري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تراجع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مقصدها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وشرحت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العبارة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تترجم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ٍ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مختلفة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السببية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مقابل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الامتنان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وطلبت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توضيح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تعنيه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لكنها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متمسكة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بموقفها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فتحدثت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البداية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بضمير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الغائب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قائلة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: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نعم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نشكر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المنفذين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نعترف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لولا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بوغوتا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نفعل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نتخيل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سنفعله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لنكتشف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قدراتنا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القيادية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."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انتقلت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نبرة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شخصية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: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بفضل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تهجيري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قابلت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أشخاصا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جددا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وتعلمت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أشياء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جديدة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أعرف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أستطيع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الغناء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قابلت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قادة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سودا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مناطق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فكرة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قائدة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ولكنني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أخض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تجربة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لأستغل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إمكاناتي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."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النهاية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أعتقد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كلماتها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تكشف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اختيار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إدانة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وإما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الاحتفاء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بالإمكانات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كثيرا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خلق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بشكل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متوقع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أثناء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لحظة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انقطاع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اختيار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زائف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الهدف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الصدق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والتمسك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بالأمل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القيام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بالعمل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الصعب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الخاص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بتمثيل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لابد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مراعاة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كليهما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8">
      <w:pPr>
        <w:pStyle w:val="Heading1"/>
        <w:bidi w:val="1"/>
        <w:spacing w:after="200" w:line="360" w:lineRule="auto"/>
        <w:rPr>
          <w:rFonts w:ascii="Lateef" w:cs="Lateef" w:eastAsia="Lateef" w:hAnsi="Lateef"/>
          <w:sz w:val="48"/>
          <w:szCs w:val="48"/>
        </w:rPr>
      </w:pPr>
      <w:bookmarkStart w:colFirst="0" w:colLast="0" w:name="_7996obo4np3p" w:id="2"/>
      <w:bookmarkEnd w:id="2"/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الشرق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الأوسط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: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الكتابة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الداخل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العنف</w:t>
      </w:r>
    </w:p>
    <w:p w:rsidR="00000000" w:rsidDel="00000000" w:rsidP="00000000" w:rsidRDefault="00000000" w:rsidRPr="00000000" w14:paraId="00000019">
      <w:pPr>
        <w:bidi w:val="1"/>
        <w:spacing w:after="200" w:line="360" w:lineRule="auto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طيلة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السنوات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العشر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الماضية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أدرس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جغرافيات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بيروت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المتنازع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نهاية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الأهلية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(١٩٧٥-١٩٩٠)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دراسة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إثنوغرافية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وأكتب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بشكل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نقدي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وبينما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تناقش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كارديناس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عملية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المرهفة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لجمهور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أكاديمي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انسدادات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وانفراجات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كولومبيا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سأتأمل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عملية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التفكير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أسميه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وطني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يهدف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عملي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بالنهاية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كشف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أشكال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يتحملها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جغرافيات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الصراع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تشكل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خيالهم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المستقبل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بأكثر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يشكله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السلام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البداية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النهاية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كثيرا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نفسي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أسأل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غرضي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أخلاقيات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الأكاديمية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المتداخل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بشكل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حميمي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حياتي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؟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فكتاباتي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والتهجير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شخصية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وسياسية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after="200" w:before="0" w:line="360" w:lineRule="auto"/>
        <w:ind w:left="0"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تنشأ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معضلات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كثيرة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التفكير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أسميه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دياري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وحيث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دياري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المفقودة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الكثيرة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تدور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خبرتي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التنقيب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تاريخ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شخصي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شكلته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والخوف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إعادة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إنتاج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نزحت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وأهلي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أثناء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الأهلية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اللبنانية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فقدنا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بيوتا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كثيرا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وتكفلت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نوبة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تهجير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بمحو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ذكريات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فضاءات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تعرضت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لاحقا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للقصف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والحرق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بيوت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طفولتي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زال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يقف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خاليا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بناية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مدمرة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شاهدا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حياة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ضاعت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منذ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زمن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وجيران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راحوا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منذ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زمن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وبينما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أكتب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الخواطر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نيويورك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جغرافيات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الصراع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بيروت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والمستمرة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تشكيل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حياة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المدينة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يبقى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عنفا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شخصيا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يمس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أهلي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وأصدقائي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وأحبائي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يجعلون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بيروت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الداخل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إذن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تقتضي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كيفية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المشي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الحبال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المشدودة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الممتدة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الحدود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مناطق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اشتباكي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الأكاديمي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والسياسي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والشخصي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المواقع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الحبال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المشدودة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الداخل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شديدة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الإنارة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لأنها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كسب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فهمي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رهافة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الوقت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الصعب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حقا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فرز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الشخصي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الأكاديمي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عندما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حياة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المرء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متداخلة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الجغرافيات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كتابي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[«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القادمة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تخطيط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حدود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مدينة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بيروت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»]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For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the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War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Yet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to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Come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: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Planning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Beirut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’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s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Frontiers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0"/>
        </w:rPr>
        <w:t xml:space="preserve">،</w:t>
      </w:r>
      <w:r w:rsidDel="00000000" w:rsidR="00000000" w:rsidRPr="00000000">
        <w:rPr>
          <w:rFonts w:ascii="Lateef" w:cs="Lateef" w:eastAsia="Lateef" w:hAnsi="Lateef"/>
          <w:sz w:val="36"/>
          <w:szCs w:val="36"/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أورد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سردا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إثنوغرافيا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ذاتيا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حياة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أهلي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بناية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سكنية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حزام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شرق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بيروت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٢٠٠٩-٢٠١٠،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أجري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بحثا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ميدانيا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تمدين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حزام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بيروت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وقبلها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مايو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٢٠٠٨،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وبقية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بيروت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شهدت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معارك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شوارع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أخذت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المدينة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حافة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أهلية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جديدة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أهلي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حالة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تمدد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دائم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الانتشار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الحثيث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للمباني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هوجة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بناء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نظير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تطوير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عمراني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جديد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المروج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تفصل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بنايتنا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البحر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المتوسط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تمتلئ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ببنايات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خرسانية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مغلفة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بالشرفات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المغطاة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بالستائر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الأثناء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تطور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نزاع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إنشاء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البناية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المجاورة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استيقظنا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لنرى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البناية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زيدت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طوابقها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الارتفاع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القانوني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وبينما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الجيران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مستعدين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لتجاهل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الطوابق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الإضافية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أغضبهم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المطور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العقاري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يخطط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للبناء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فوق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المنافع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المشتركة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الخاصة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بالحي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ليسد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الرصيف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ويتعدى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الحارة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المسدودة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المملوكة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للجميع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after="200" w:before="0" w:line="360" w:lineRule="auto"/>
        <w:ind w:left="0"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دفعتني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الخبرة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المباشرة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أكتب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النزاع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الناشئ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تكفل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اشتداد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الصراع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بجعل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المفاوضات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الدائرة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عملية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الإنشاء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واضحة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منطقة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تحكمها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نحل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الفصائل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المتنافسة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الفصائل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الأغلب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ميليشيات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تحولت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نهاية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تنظيمات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سياسية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مستمرة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البلد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لبنان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يطبق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قانون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البناء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بشكل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متسق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يستدعى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التنازع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إنشاءات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قانونية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Lateef" w:cs="Lateef" w:eastAsia="Lateef" w:hAnsi="Lateef"/>
          <w:sz w:val="36"/>
          <w:szCs w:val="36"/>
          <w:vertAlign w:val="superscript"/>
        </w:rPr>
        <w:footnoteReference w:customMarkFollows="0" w:id="8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سرعان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أصبح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تحدي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التوسعات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القانونية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البناية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المجاورة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عملية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سياسية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تقسم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أساس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طائفي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فبانخراط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الأحزاب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تلقى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قاوموا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البناء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القانوني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أهلي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تهديدات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النهاية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أزيلت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المخالفات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فقط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اللحظة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لصالح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التنظيم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الديني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إزالتها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spacing w:after="200" w:before="0" w:line="360" w:lineRule="auto"/>
        <w:ind w:left="0"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أثناء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شهودي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المفاوضات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والتهديدات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غرفة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معيشة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أهلي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تتوالى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مقتنعة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سردا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إثنوغرافيا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ذاتيا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لهذا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النزاع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يمكنه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قنوات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السلطة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الدقيقة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حولت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مناطق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حزام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بيروت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مناطق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حدودية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للنمو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الحضري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الطائفي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بدأت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تدوين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روايتي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الورق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أصابني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بالتوتر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وصفي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لأشكال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النزاع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اليومية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إفشاء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تفاصيل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شأنها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الإضرار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بسلامة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أهلي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نترقب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دائما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نشوب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طائفي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عملية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أصعب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القلق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تتسبب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التجربة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يوما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حلقة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تهجير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لأهلي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after="200" w:before="0" w:line="360" w:lineRule="auto"/>
        <w:ind w:left="0"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القلق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بغير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أساس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بعيدا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الواقع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مايو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٢٠٠٨،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اضطر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أهلي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لترك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شقتهم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مؤقتا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استعرت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المعارك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الشوارع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وأهلي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ككثير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اللبنانيين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مدربون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جيدا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النوع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المواقف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يعرفون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بالضبط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ضبه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الجوازات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والمجوهرات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والنصوص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والأوراق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الرسمية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المهمة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حجج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الأملاك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والوصايا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والحقيقة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أسرا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كثيرا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لديها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حقائب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جاهزة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استعدادا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للمغادرة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لحظة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٢٠٠٨،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المرور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بنقاط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تفتيش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ميليشاوية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الفصائل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المتناحرة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تفحص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هويات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—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أفعال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تذكر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الأهلية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عندما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قتل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نقاط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التفتيش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بناء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الديانة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الواردة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هوياتهم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أشباح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خبرات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الماضي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تخيم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بظلها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اندلع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spacing w:after="200" w:before="0" w:line="360" w:lineRule="auto"/>
        <w:ind w:left="0"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تلقي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بظلها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تبت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المنازعات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التنظيمات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المختلفة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تتوالى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فصولها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حزام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بيروت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وترقبه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تقتضي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وإعادة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والحذف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محاولة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لتبي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ُّ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كيفية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إظهار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عملية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التمدين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كيفية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التعبير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معاناة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وتجريدهم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ملكيتهم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أثناء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تحرير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قصصهم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وتخليصها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يعرضهم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لحلقات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جديدة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التهجير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استهلكتني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المشاق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المحيطة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بطريقة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الداخل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تعريض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مصادري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تعريضا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محتملا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مستقبلي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after="200" w:before="0" w:line="360" w:lineRule="auto"/>
        <w:ind w:left="0"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وعبر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السنوات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أدركت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فشيئا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أدرسه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رابحون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وخاسرون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الخطوط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الفاصلة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المعتدين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والضحايا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ملتبسة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تنقلب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الطاولات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باستمرار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معتدي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اليوم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ضحية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الغد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ونتيجة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شرعت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زوايا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مختلفة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آن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تخص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المتورطين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الصراع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؛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مهمة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صعبة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موضوعات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مشحونة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كعمليات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للشيعة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مناطق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درزية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مسيحية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سابقا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أماكن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بلغ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العداء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أسس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طائفية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ذروته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هدفي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إسناد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وعقابيله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فاعلين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محددين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فحص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الكيفية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يستخدم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الفاعلون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التخطيط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والإسكان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والأسواق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العقارية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كأدوات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لتشكيل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جغرافيات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بيروت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المتنازع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بالتركيز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المعاناة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الواقعة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حياة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اليومية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بغض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انتماءاتهم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الطائفية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والسياسية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spacing w:after="200" w:before="0" w:line="360" w:lineRule="auto"/>
        <w:ind w:left="0"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ويدور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تحد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ٍّ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إمكانية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عملية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التنقيب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خبرات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إنتاج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أشكال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جديدة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روى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مصادري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خبراتهم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زال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بعضهم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يحمل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ندوبها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أجسادهم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المبتورة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والمشوهة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ويبقى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مسكونا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بالكوابيس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كثيرون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أحباءهم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وصور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هؤلاء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معلقة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جدران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غرف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معيشتهم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اضطر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آخرون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العيش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مساكن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مقامة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مؤقتا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لثلاثين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عاما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يتمكنوا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العثور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ثابت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جديد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يتمكن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البعض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العودة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بيوتهم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تجاربهم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وصفا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حدثت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لتوها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بكثافة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أوحت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أهلي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كانوا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يعيشون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جديد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الحكي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كثيرا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جاهدت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لأحدد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عملية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الحكي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تطهيرية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ببساطة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تسبب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دورات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جديدة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spacing w:after="200" w:before="0" w:line="360" w:lineRule="auto"/>
        <w:ind w:left="0"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العملية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الخاصة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بإنتاج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الداخل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تشكلها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تحديات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كهذا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المجال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الديار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وداخل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المجتمع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الأكاديمي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الأوسع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آن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٢٠١٠،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تقديمي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عملي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بيروت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للمرة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الأولى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غلبني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التوتر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بشأن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كيفية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تلقيه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أقف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مدرج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مليء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لأتحدث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نزاع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حزب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الشيعي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والحزب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الاشتراكي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التقدمي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الدرزي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موضوع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شخص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القاعة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صاحب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رأي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حوله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البلد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زالت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تتعافى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معارك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٢٠٠٨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الناشبة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الجماعتين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وباعتبار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أصولي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العائلية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انفعلت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قلقا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يرميني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الجمهور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بالانحياز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ضد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حزب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؛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أدان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لقلة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تعاطفي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محنة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قومي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أقلية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أتحدث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تشكله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السرديات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المهيمنة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الإرهاب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راودني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قلق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مشابه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بشأن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عملي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أمام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جمهور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أكاديمي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أمريكي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يحضر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حزب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كثرة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ببطاقته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التعريفية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الغربية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بوصفه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تنظيما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إرهابيا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داخل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بيروت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تقتضي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مناقشة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حزب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بوصفه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مجرد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فاعل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لبناني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يمثل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فئة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كبيرة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المواطنين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اللبنانيين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تحديا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أقوض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التوصيفات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الغرائبية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والاختزالية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لكي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أبدأ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خوض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حوار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يعيشون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حياتهم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أماكن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حقيقية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الجلي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الداخل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تصبح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مشروعا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ينطوي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انفعالات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توتر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محلية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وعالمية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إزاء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الأماكن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وسمت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دائما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بأنها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خطرة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لكنها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برغم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تواريخ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وطن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لكثيرين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22">
      <w:pPr>
        <w:pStyle w:val="Heading1"/>
        <w:bidi w:val="1"/>
        <w:spacing w:after="200" w:line="360" w:lineRule="auto"/>
        <w:rPr>
          <w:rFonts w:ascii="Lateef" w:cs="Lateef" w:eastAsia="Lateef" w:hAnsi="Lateef"/>
          <w:sz w:val="48"/>
          <w:szCs w:val="48"/>
        </w:rPr>
      </w:pPr>
      <w:bookmarkStart w:colFirst="0" w:colLast="0" w:name="_do8gne5tj3ny" w:id="3"/>
      <w:bookmarkEnd w:id="3"/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لقاءات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جنوبية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48"/>
          <w:szCs w:val="48"/>
          <w:rtl w:val="1"/>
        </w:rPr>
        <w:t xml:space="preserve">جنوبية</w:t>
      </w:r>
    </w:p>
    <w:p w:rsidR="00000000" w:rsidDel="00000000" w:rsidP="00000000" w:rsidRDefault="00000000" w:rsidRPr="00000000" w14:paraId="00000023">
      <w:pPr>
        <w:bidi w:val="1"/>
        <w:spacing w:after="200" w:line="360" w:lineRule="auto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كدارستين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أكاديميتين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لأمريكا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والشرق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لديهما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اعتبارات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شخصية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عميقة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تتعلق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بالأماكن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نكتب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رجاؤنا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بنظر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إحدانا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عيني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الأخرى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سيتسنى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الالتفاف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النظرة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المركزية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الأوروپية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عادة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تصاحب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دراسات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وسنستطيع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تجاوز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إضفاء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الغرائبية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واختزال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الموضوعات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والأماكن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وسمها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بأنها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خطرة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".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ونفضل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نخلق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مكانها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فضاءات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أخذ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وعطاء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جنوبي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الجوانب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الرتيبة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والحيوات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المزدهرة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يبنيها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الأماكن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ولهذه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الغاية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يلقي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المقال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نظرة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أكاديمية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مقلوبة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تتحدث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الشمال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ردا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مسائلة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افتراضاته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وملقية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الضوء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حدوده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قمنا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إظهار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العمل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الفكري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والعاطفي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تتطلبه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الكتابة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الداخل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ويتطلبه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الحفاظ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الصدق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مصادرنا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بينما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نخاطب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جماهير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بعيدة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جدا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السياقات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spacing w:after="200" w:before="0" w:line="360" w:lineRule="auto"/>
        <w:ind w:left="0" w:firstLine="720"/>
        <w:rPr>
          <w:rFonts w:ascii="Lateef" w:cs="Lateef" w:eastAsia="Lateef" w:hAnsi="Lateef"/>
          <w:sz w:val="36"/>
          <w:szCs w:val="36"/>
        </w:rPr>
      </w:pP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تكرار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الاشتباك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الفكري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الجنوبي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بدأ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كتمرين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تربوي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أمدنا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الفصل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الدراسي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بفرصة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لشق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فضاء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استنطقت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محادثاتنا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الأسبوعية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المعرفة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نت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ج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موشور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تحليل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والعكس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بالعكس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المنهج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مثمر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تخيل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سيناريوات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مستقبلية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مختلفة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لحظة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يبدو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أفق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التقدمية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آخذا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الانغلاق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حول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المقاربات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التربوية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محورية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لزحزحة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مركزية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إنتاج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المعرفة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الخاصة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بالهيمنة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وتوليد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مقاربات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مختلفة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لفهم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ونعتقد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بشدة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الأنواع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التجارب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تشجيعها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وجعلها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شيوعا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غرار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بقية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الجهود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تسهم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القضية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فقط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لأسباب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معرفية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للاستجابة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بشكل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أفضل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للإلحاح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السياسي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تمثله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لحظتنا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التاريخية</w:t>
      </w:r>
      <w:r w:rsidDel="00000000" w:rsidR="00000000" w:rsidRPr="00000000">
        <w:rPr>
          <w:rFonts w:ascii="Lateef" w:cs="Lateef" w:eastAsia="Lateef" w:hAnsi="Lateef"/>
          <w:sz w:val="36"/>
          <w:szCs w:val="36"/>
          <w:rtl w:val="1"/>
        </w:rPr>
        <w:t xml:space="preserve">.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eef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5">
      <w:pPr>
        <w:bidi w:val="1"/>
        <w:spacing w:line="240" w:lineRule="auto"/>
        <w:rPr>
          <w:rFonts w:ascii="Lateef" w:cs="Lateef" w:eastAsia="Lateef" w:hAnsi="Lateef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طالعنا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سبيل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المثال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Salwa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Ismail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Lateef" w:cs="Lateef" w:eastAsia="Lateef" w:hAnsi="Lateef"/>
          <w:i w:val="1"/>
          <w:sz w:val="24"/>
          <w:szCs w:val="24"/>
          <w:rtl w:val="0"/>
        </w:rPr>
        <w:t xml:space="preserve">Political Life in Cairo’s New Quarters: Encountering the Everyday State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Minneapolis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University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Minnesota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Press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, 2006)،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Steven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Gregory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Lateef" w:cs="Lateef" w:eastAsia="Lateef" w:hAnsi="Lateef"/>
          <w:i w:val="1"/>
          <w:sz w:val="24"/>
          <w:szCs w:val="24"/>
          <w:rtl w:val="0"/>
        </w:rPr>
        <w:t xml:space="preserve">The Devil Behind the Mirror: Globalization and Politics in the Dominican Republic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Berkeley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University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California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Press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, 2007)،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Farha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Ghannam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, “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Mobility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Liminality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Embodiment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Urban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Egypt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,” </w:t>
      </w:r>
      <w:r w:rsidDel="00000000" w:rsidR="00000000" w:rsidRPr="00000000">
        <w:rPr>
          <w:rFonts w:ascii="Lateef" w:cs="Lateef" w:eastAsia="Lateef" w:hAnsi="Lateef"/>
          <w:i w:val="1"/>
          <w:sz w:val="24"/>
          <w:szCs w:val="24"/>
          <w:rtl w:val="0"/>
        </w:rPr>
        <w:t xml:space="preserve">American Ethnologist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38/4 (2011).</w:t>
      </w:r>
    </w:p>
  </w:footnote>
  <w:footnote w:id="1">
    <w:p w:rsidR="00000000" w:rsidDel="00000000" w:rsidP="00000000" w:rsidRDefault="00000000" w:rsidRPr="00000000" w14:paraId="0000002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Keisha-Khan Y. Perry, </w:t>
      </w:r>
      <w:r w:rsidDel="00000000" w:rsidR="00000000" w:rsidRPr="00000000">
        <w:rPr>
          <w:rFonts w:ascii="Lateef" w:cs="Lateef" w:eastAsia="Lateef" w:hAnsi="Lateef"/>
          <w:i w:val="1"/>
          <w:sz w:val="24"/>
          <w:szCs w:val="24"/>
          <w:rtl w:val="0"/>
        </w:rPr>
        <w:t xml:space="preserve">Black Women against the Land Grab: The Fight for Racial Justice in Brazil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(Minneapolis: University of Minnesota Press, 2013), Eyal Weizman, </w:t>
      </w:r>
      <w:r w:rsidDel="00000000" w:rsidR="00000000" w:rsidRPr="00000000">
        <w:rPr>
          <w:rFonts w:ascii="Lateef" w:cs="Lateef" w:eastAsia="Lateef" w:hAnsi="Lateef"/>
          <w:i w:val="1"/>
          <w:sz w:val="24"/>
          <w:szCs w:val="24"/>
          <w:rtl w:val="0"/>
        </w:rPr>
        <w:t xml:space="preserve">Hollow Land : Israel’s Architecture of Occupation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(New York: Verso, 2007).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2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Fernando Coronil, </w:t>
      </w:r>
      <w:r w:rsidDel="00000000" w:rsidR="00000000" w:rsidRPr="00000000">
        <w:rPr>
          <w:rFonts w:ascii="Lateef" w:cs="Lateef" w:eastAsia="Lateef" w:hAnsi="Lateef"/>
          <w:i w:val="1"/>
          <w:sz w:val="24"/>
          <w:szCs w:val="24"/>
          <w:rtl w:val="0"/>
        </w:rPr>
        <w:t xml:space="preserve">The Magical State: Nature, Money, and Modernity in Venezuela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(Chicago, IL: University of Chicago Press, 1997), Ahmed Kanna, </w:t>
      </w:r>
      <w:r w:rsidDel="00000000" w:rsidR="00000000" w:rsidRPr="00000000">
        <w:rPr>
          <w:rFonts w:ascii="Lateef" w:cs="Lateef" w:eastAsia="Lateef" w:hAnsi="Lateef"/>
          <w:i w:val="1"/>
          <w:sz w:val="24"/>
          <w:szCs w:val="24"/>
          <w:rtl w:val="0"/>
        </w:rPr>
        <w:t xml:space="preserve">Dubai, The City as Corporation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(Minneapolis: University of Minnesota Press, 2011).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28">
      <w:pPr>
        <w:spacing w:line="240" w:lineRule="auto"/>
        <w:rPr>
          <w:rFonts w:ascii="Lateef" w:cs="Lateef" w:eastAsia="Lateef" w:hAnsi="Lateef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Lin Noueihed and Alex Warren, “The Media Revolution,” </w:t>
      </w:r>
      <w:r w:rsidDel="00000000" w:rsidR="00000000" w:rsidRPr="00000000">
        <w:rPr>
          <w:rFonts w:ascii="Lateef" w:cs="Lateef" w:eastAsia="Lateef" w:hAnsi="Lateef"/>
          <w:i w:val="1"/>
          <w:sz w:val="24"/>
          <w:szCs w:val="24"/>
          <w:rtl w:val="0"/>
        </w:rPr>
        <w:t xml:space="preserve">The Battle for the Arab Spring: Revolution, Counter-Revolution and the Making of a New Era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(New Haven: Yale University Press, 2012). Fernando Coronil, “The Future in Question: History and Utopia in Latin America (1989–2010),” </w:t>
      </w:r>
      <w:r w:rsidDel="00000000" w:rsidR="00000000" w:rsidRPr="00000000">
        <w:rPr>
          <w:rFonts w:ascii="Lateef" w:cs="Lateef" w:eastAsia="Lateef" w:hAnsi="Lateef"/>
          <w:i w:val="1"/>
          <w:sz w:val="24"/>
          <w:szCs w:val="24"/>
          <w:rtl w:val="0"/>
        </w:rPr>
        <w:t xml:space="preserve">Business as Usual: The Roots of the Global Financial Meltdown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, eds. Calhoun et al. (New York: NYU Press, 2011).</w:t>
      </w:r>
    </w:p>
  </w:footnote>
  <w:footnote w:id="4">
    <w:p w:rsidR="00000000" w:rsidDel="00000000" w:rsidP="00000000" w:rsidRDefault="00000000" w:rsidRPr="00000000" w14:paraId="0000002D">
      <w:pPr>
        <w:bidi w:val="1"/>
        <w:spacing w:line="240" w:lineRule="auto"/>
        <w:rPr>
          <w:rFonts w:ascii="Lateef" w:cs="Lateef" w:eastAsia="Lateef" w:hAnsi="Lateef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انعقد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الفصل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كلية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هامپشير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والتحق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طلبة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كلية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سمث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وكلية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ماونت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هوليوك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وكلية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آمرست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1"/>
        </w:rPr>
        <w:t xml:space="preserve">.</w:t>
      </w:r>
    </w:p>
  </w:footnote>
  <w:footnote w:id="5">
    <w:p w:rsidR="00000000" w:rsidDel="00000000" w:rsidP="00000000" w:rsidRDefault="00000000" w:rsidRPr="00000000" w14:paraId="0000002E">
      <w:pPr>
        <w:spacing w:line="240" w:lineRule="auto"/>
        <w:rPr>
          <w:rFonts w:ascii="Lateef" w:cs="Lateef" w:eastAsia="Lateef" w:hAnsi="Lateef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Lamia Moghnieh, “‘The Violence We Live In’: Reading and Experiencing Violence in the Field,” </w:t>
      </w:r>
      <w:r w:rsidDel="00000000" w:rsidR="00000000" w:rsidRPr="00000000">
        <w:rPr>
          <w:rFonts w:ascii="Lateef" w:cs="Lateef" w:eastAsia="Lateef" w:hAnsi="Lateef"/>
          <w:i w:val="1"/>
          <w:sz w:val="24"/>
          <w:szCs w:val="24"/>
          <w:rtl w:val="0"/>
        </w:rPr>
        <w:t xml:space="preserve">Contemporary Levant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2/1 (2017).</w:t>
      </w:r>
    </w:p>
  </w:footnote>
  <w:footnote w:id="6">
    <w:p w:rsidR="00000000" w:rsidDel="00000000" w:rsidP="00000000" w:rsidRDefault="00000000" w:rsidRPr="00000000" w14:paraId="0000002F">
      <w:pPr>
        <w:spacing w:line="240" w:lineRule="auto"/>
        <w:rPr>
          <w:rFonts w:ascii="Lateef" w:cs="Lateef" w:eastAsia="Lateef" w:hAnsi="Lateef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Roosbelinda Cárdenas, “’Thanks to My Forced Displacement’: Blackness and the Politics of Colombia’s War Victims,” </w:t>
      </w:r>
      <w:r w:rsidDel="00000000" w:rsidR="00000000" w:rsidRPr="00000000">
        <w:rPr>
          <w:rFonts w:ascii="Lateef" w:cs="Lateef" w:eastAsia="Lateef" w:hAnsi="Lateef"/>
          <w:i w:val="1"/>
          <w:sz w:val="24"/>
          <w:szCs w:val="24"/>
          <w:rtl w:val="0"/>
        </w:rPr>
        <w:t xml:space="preserve">Latin American and Caribbean Ethnic Studies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13/1 (2018).</w:t>
      </w:r>
    </w:p>
  </w:footnote>
  <w:footnote w:id="7">
    <w:p w:rsidR="00000000" w:rsidDel="00000000" w:rsidP="00000000" w:rsidRDefault="00000000" w:rsidRPr="00000000" w14:paraId="00000030">
      <w:pPr>
        <w:spacing w:line="240" w:lineRule="auto"/>
        <w:rPr>
          <w:rFonts w:ascii="Lateef" w:cs="Lateef" w:eastAsia="Lateef" w:hAnsi="Lateef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Hiba Bou Akar, </w:t>
      </w:r>
      <w:r w:rsidDel="00000000" w:rsidR="00000000" w:rsidRPr="00000000">
        <w:rPr>
          <w:rFonts w:ascii="Lateef" w:cs="Lateef" w:eastAsia="Lateef" w:hAnsi="Lateef"/>
          <w:i w:val="1"/>
          <w:sz w:val="24"/>
          <w:szCs w:val="24"/>
          <w:rtl w:val="0"/>
        </w:rPr>
        <w:t xml:space="preserve">For the War Yet to Come: Planning Beirut’s Frontiers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(Palo Alto, CA: Stanford University Press, 2018).</w:t>
      </w:r>
    </w:p>
  </w:footnote>
  <w:footnote w:id="8">
    <w:p w:rsidR="00000000" w:rsidDel="00000000" w:rsidP="00000000" w:rsidRDefault="00000000" w:rsidRPr="00000000" w14:paraId="00000031">
      <w:pPr>
        <w:spacing w:line="240" w:lineRule="auto"/>
        <w:rPr>
          <w:rFonts w:ascii="Lateef" w:cs="Lateef" w:eastAsia="Lateef" w:hAnsi="Lateef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Marieke Krijnen and Mona Fawaz, “Exception as the Rule: High-End Developments in Neoliberal Beirut,” </w:t>
      </w:r>
      <w:r w:rsidDel="00000000" w:rsidR="00000000" w:rsidRPr="00000000">
        <w:rPr>
          <w:rFonts w:ascii="Lateef" w:cs="Lateef" w:eastAsia="Lateef" w:hAnsi="Lateef"/>
          <w:i w:val="1"/>
          <w:sz w:val="24"/>
          <w:szCs w:val="24"/>
          <w:rtl w:val="0"/>
        </w:rPr>
        <w:t xml:space="preserve">Built Environment</w:t>
      </w:r>
      <w:r w:rsidDel="00000000" w:rsidR="00000000" w:rsidRPr="00000000">
        <w:rPr>
          <w:rFonts w:ascii="Lateef" w:cs="Lateef" w:eastAsia="Lateef" w:hAnsi="Lateef"/>
          <w:sz w:val="24"/>
          <w:szCs w:val="24"/>
          <w:rtl w:val="0"/>
        </w:rPr>
        <w:t xml:space="preserve"> 36/2 (2010).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merip.org/2018/04/writing-about-violence/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ee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