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الشعارات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طارق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دانا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طليعة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البسيطة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معقدة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بالتعددية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يغني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المعتقدات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والمنظورات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ديمقراطي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التعددية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عقائد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متسامحة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إقصائية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يفاقم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التوترات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والصراعات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اتخذت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التعددية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الفئوية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للخصومات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وأضعفت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الفئوية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وقلصت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والتنظيمي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الضروري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متكرر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لتأثيرات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وإقليمية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وسببت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بأجندات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خادمة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للذات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ومنطق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والإقصاء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مسبوقة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وارتباك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إيديولوجي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الفئوية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النكبة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بلفور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١٩١٧،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الصهيوني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لتأسيس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انهيار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الإمبراطورية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وسيطرتها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وأشكال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التنظيم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والإيديولوجيات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والاشتراكية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والإيديولوجي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هرميات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والعشيرة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الانتداب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الفرنسي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١٩٤٨،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هيمنت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النخب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المتشكلة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وملاكين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إقطاعيين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مارسوا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أغلبية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الصهاينة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انخرطت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النخب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النخب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أحزابها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افتقر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كأدوات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للمحافظة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وعشائرية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وامتيازات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استغلت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النخب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المتنافسة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وأحزابها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المتصاعدة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للعداء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للصهيونية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لتوسيع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استقطاب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التعصب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الفئوي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والنشاشيبي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بارزتان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وأدى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تحالفات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فئوية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وأنفقت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العائلتين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معتبرة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للتنافس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ومسببة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تفككات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مضعفة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الصهيونية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هيمنت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مقاربتان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وتبنت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المواجهة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الدوائر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الصهاينة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والبريطانيين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المقاربة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بالتأكيد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مدفوعة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بعواطف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لحماية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وسلطتها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النشاشيبي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تنافسها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الدفاع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النشاشيبي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براغماتية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معتدلا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ومتعاونا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وشكلت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والنزاعات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الفئوية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إضعاف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الصهيوني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التطهير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والقضاء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نكبة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1948.(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للمزيد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الفئوية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غالبية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النكبة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أوضاع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بائسة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مبعثرين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مخيمات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اللجوء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ومجردين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والكرامة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مميزة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ووجدوا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نشاطهم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خاضعا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وأحزابهم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الخمسينات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بزغت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استهلت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ولبنان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افتقرت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تنظيمية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زرعت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البذور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لتشكيل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تماسكا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وتنظيما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المتنوعة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1970،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عملياتها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ومناوراتها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الاعتبارات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ومعتمدة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هزيمة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وقطاع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والقدس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واستهلت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الهزيمة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وشجعت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الأوضاع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الإقليمية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ولاستقلالية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انعكست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المنتشرة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غذت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الجزائرية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والمقاومة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الفيتنامية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أغلبية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يعيشون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كلاجئين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المحيطة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ووراءها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وتوسيع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الكردستاني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كولومبيا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وفصيل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الألماني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والجيش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الياباني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أقساما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جذب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ثوريين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الفنزويلي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إلييتش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راميريز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سانشيز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كارلوس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الثعلب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ملاحقة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الاستخبارات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المركزية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ووكالات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الاستخبارات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وبالرغم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لتهميش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وتصويرها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إرهابية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بنجاح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انتباه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مراقب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1974،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ممثلة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(1964-1974)،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فصائلها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بإجماع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لميثاق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مقبولة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إنشاء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مواطنيها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وبالرغم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الإنجازات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الأجندات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الانقسامية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ونشبت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الفصائلية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أشكال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التحالفات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والإقليمية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وتوزيع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المتكافئ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استغلت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المتنافسة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تعزز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مصالحها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وتقصي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بالوكالة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وهجمات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واستياءات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الضحية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للنزاعات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الطائفية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بتماسكه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مراكز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وشكلت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الماويين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والعسكري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الماركسية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السوفياتي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لينينية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ماركسية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عابرة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العروبة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كتناقض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وألهمت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سمعتها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شاركوا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هيمنت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لعقود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لهويتها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وإطارها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التنظيمي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الغموض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أشخاصا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تتسلسل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والمحافظين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المتنافسة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بالانشقاقات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دوافعها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وبسبب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إقليمية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متغيرة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أنتجتها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المواجهات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العسكرية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الأردنية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١٩٧٠-٧١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١٩٧٣،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تهيمن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المحتلة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ونشأت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الاستراتيجية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تتبعه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١٩٧٤،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انشقت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مسؤولي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استمالوا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لخدمة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مصالحهم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انشقاق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١٩٨٣،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انشقت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المتشددين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الراديكاليين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عسكرية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اللبنانية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لإقامة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دبلوماسية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المتشددون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اشتباكات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            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الفصائلية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بزغ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تهيمن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١٩٧٤،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تتحقق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معارضو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الاستراتيجية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بإعادة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اعتدالا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وخشيت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سيقود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تسويات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وتنازلات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داعمين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ومعارضين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تمسكها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التبدلات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موازين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وأضعف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انسحاب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١٩٨٢،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طموح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التاسعة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الجزائر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وأعلن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وقائد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مستقلة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تدعو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التعايش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وألزم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انهيار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السوفياتي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وظهور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صيغة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كأساس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للمفاوضات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بتوقيع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١٩٩٣.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والفصائلية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البزوغ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المتأخر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عمودا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إيديولوجيا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إضافيا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فصائليا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١٩٨٧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انعطاف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تصاعدا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متزامن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للتيارين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للأهمية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المتصاعدة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الإقليمية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شجعته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والمملكة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موازية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والنفوذ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السوفياتي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وتبنت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تكتيكا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بتشجيع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لنفوذ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الانتفاضة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(١٩٨٧-١٩٩٣).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المقاربة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للاستراتيجيات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تتلاعب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بالأحزاب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وتوظيفها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لخدمة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مصالحها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متحدين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أقوياء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الممثلين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ويمثلان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بديلا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إسلاميا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واختلفا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متأصلة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للإخوان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كمعادية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وتؤمن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بالتحويل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كشرط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والتربوية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عززت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قاعدتها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ونافست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وموضعت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كمنافس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واليسارية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العكس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ألهمتها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١٩٧٩،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للإخوان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بأسلمة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كشرط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لاستراتيجية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معتقدات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وناصرت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تعاونا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وثيقا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وأهملت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وركزت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والعسكري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كبديل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كفاعل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بهويته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أظهرت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البراغماتية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المعتدلة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والمملكة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عارضت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دبلوماسية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والتقسيم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الفصائلي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المهلك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لفلسطين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١٩٩٣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والحكومة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انهيار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السوفياتي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والانتصار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للرأسمالية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وعولمة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الليبرالية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وسمح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الأراضي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المحتلة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وتؤسس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محدودة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المفاوضات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وتعميق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السيطرة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وتبدى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توسع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المستوطنات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والقيود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وتفكيك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والسيطرة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والحدود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يدعمها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ويغذيها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واهبون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غربيون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ووظائفها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لتدخلات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وضغوط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المهيمنة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مواصلة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بروزا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بنيويا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والوظائف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المتشعبة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ورغم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خاضعة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بالتدريج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مرجعية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الاستيطاني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الأوسع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وتنوعها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جغرافيتها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وحاصرها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وحكمها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إقصائية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تهميش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وتفويضها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التمثيلي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فوضوية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وبالنتيجة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هيمنت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المضمونة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الزعيم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الاستبدادية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ومارسوا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استبدادية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تفتقر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للتمثيل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والتفويض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تمثله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بيروقراطية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ضخمة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القطاع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تتلقى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امتيازات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متشددو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دربتها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نخبة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وتؤمن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وخطابها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المفاوضات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الواهبين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وتلبية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للحفاظ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الصعيد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الواهبين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الليبرالية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زبائنية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فاسدة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ومستويات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التفاوت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واللامساواة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وفاقمت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أوضاع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التناقضات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والتوترات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أجبرت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أشكال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مسبوقة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الفصائلية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الركود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والارتباك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وصعود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انحدارا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رهينة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للوضع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توقيع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تفكك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الاشتراكية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والتفكك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حليفا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الصعيد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التشظي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جبهة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للواقع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والمؤسساتي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إيديولوجيا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منعته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إدخال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اشتراكية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وتعزيز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ابتكار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والتبدلات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الجذرية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للأراضي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المحتلة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الماركسية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بلاغة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فارغة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ارتبطت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الجماهيرية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بتراجع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مبادئ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كنتيجة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لدخول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الواهبين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فرضوها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تصبح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نخبوية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جماهيرية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بتطبيق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الواهبين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المصاغة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التأثيرات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تبدلات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إيديولوجية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وابتعدت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والتعبئة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واستمالت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والكوادر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يملكون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جذري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مهيمنة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لاعبا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ونجحت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توسيع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قاعدتها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للهيمنة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تلغي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خطابا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شعبويا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كطليعة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وشبكة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الجماهيري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الأفقر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وأدخلت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شريحة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متماسكة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مستندة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وتنظيم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ويعكس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بناؤها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الهرمي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توزيعا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والعسكرية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والإدارية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قيادتها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تحافظ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وتطورت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والإسلامي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أشكالا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إيديولوجي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مضياف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مزدوجة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النهج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تتوجت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التناقضات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الخصام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الفصائلي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٢٠٠٧،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انتهى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ثنائية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القطب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ومؤسساتية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وأرضية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واستغلت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الانقسام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منفصلة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اقتصادي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لحكومة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تعرضت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وهجمات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عسكرية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٢٠٠٨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٢٠١٢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٢٠١٤.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المنفصلة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مأسسة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وأغرق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الانقسام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استيلاء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وحالما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اتبعت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الراديكالية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تعزز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نفوذها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بيروقراطيات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وأجهزة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أعضائها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وفرضت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حذرة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التنازلات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لإسرائيل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والمانحين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متلقية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الواهبين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فشل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الظهور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بديلة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الانقسام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ثنائي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القطب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خاضعا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وبالرغم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أحدثت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تعدديتها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لفصائلية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أنتجت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أهدافها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المعلنة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طارق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الدوحة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لمركز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بيرزيت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ويعمل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كمستشار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لشبكة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الشبكة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وعضو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التوجيهية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